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CA59F" w14:textId="7C55236D" w:rsidR="00CE4B63" w:rsidRPr="009A67B6" w:rsidRDefault="00EA28FD" w:rsidP="00CE4B6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A67B6">
        <w:rPr>
          <w:rFonts w:ascii="Cambria" w:hAnsi="Cambria"/>
          <w:b/>
          <w:sz w:val="24"/>
          <w:szCs w:val="24"/>
        </w:rPr>
        <w:t>Evaluation for Portfolio</w:t>
      </w:r>
      <w:r w:rsidR="00AC2464">
        <w:rPr>
          <w:rFonts w:ascii="Cambria" w:hAnsi="Cambria"/>
          <w:b/>
          <w:sz w:val="24"/>
          <w:szCs w:val="24"/>
        </w:rPr>
        <w:t xml:space="preserve"> 3</w:t>
      </w:r>
      <w:r w:rsidRPr="009A67B6">
        <w:rPr>
          <w:rFonts w:ascii="Cambria" w:hAnsi="Cambria"/>
          <w:b/>
          <w:sz w:val="24"/>
          <w:szCs w:val="24"/>
        </w:rPr>
        <w:t xml:space="preserve">: </w:t>
      </w:r>
      <w:r w:rsidR="00AC2464">
        <w:rPr>
          <w:rFonts w:ascii="Cambria" w:hAnsi="Cambria"/>
          <w:b/>
          <w:sz w:val="24"/>
          <w:szCs w:val="24"/>
        </w:rPr>
        <w:t>Argument/</w:t>
      </w:r>
      <w:r w:rsidR="0078636C">
        <w:rPr>
          <w:rFonts w:ascii="Cambria" w:hAnsi="Cambria"/>
          <w:b/>
          <w:sz w:val="24"/>
          <w:szCs w:val="24"/>
        </w:rPr>
        <w:t xml:space="preserve">SOGC </w:t>
      </w:r>
      <w:r w:rsidR="00AC2464">
        <w:rPr>
          <w:rFonts w:ascii="Cambria" w:hAnsi="Cambria"/>
          <w:b/>
          <w:sz w:val="24"/>
          <w:szCs w:val="24"/>
        </w:rPr>
        <w:t>&amp; Annotated Bibliography</w:t>
      </w:r>
    </w:p>
    <w:p w14:paraId="147A8D38" w14:textId="77777777" w:rsidR="00ED6DB5" w:rsidRPr="00E0176A" w:rsidRDefault="00ED6DB5" w:rsidP="00CE4B63">
      <w:pPr>
        <w:spacing w:after="0" w:line="240" w:lineRule="auto"/>
        <w:jc w:val="center"/>
        <w:rPr>
          <w:rFonts w:ascii="Cambria" w:hAnsi="Cambria"/>
          <w:b/>
        </w:rPr>
      </w:pPr>
    </w:p>
    <w:p w14:paraId="5848CF27" w14:textId="652650DF" w:rsidR="005D7D3B" w:rsidRPr="00E0176A" w:rsidRDefault="005D7D3B" w:rsidP="005D7D3B">
      <w:pPr>
        <w:spacing w:after="0" w:line="240" w:lineRule="auto"/>
        <w:rPr>
          <w:rFonts w:ascii="Cambria" w:hAnsi="Cambria"/>
          <w:b/>
        </w:rPr>
      </w:pPr>
      <w:r w:rsidRPr="00E0176A">
        <w:rPr>
          <w:rFonts w:ascii="Cambria" w:hAnsi="Cambria"/>
          <w:b/>
        </w:rPr>
        <w:t>Name:</w:t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="00865F99"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b/>
        </w:rPr>
        <w:tab/>
      </w:r>
      <w:r w:rsidRPr="00E0176A">
        <w:rPr>
          <w:rFonts w:ascii="Cambria" w:hAnsi="Cambria"/>
          <w:sz w:val="20"/>
          <w:szCs w:val="20"/>
        </w:rPr>
        <w:tab/>
      </w:r>
    </w:p>
    <w:tbl>
      <w:tblPr>
        <w:tblStyle w:val="TableGrid"/>
        <w:tblW w:w="4932" w:type="pct"/>
        <w:tblLayout w:type="fixed"/>
        <w:tblLook w:val="04A0" w:firstRow="1" w:lastRow="0" w:firstColumn="1" w:lastColumn="0" w:noHBand="0" w:noVBand="1"/>
      </w:tblPr>
      <w:tblGrid>
        <w:gridCol w:w="5690"/>
        <w:gridCol w:w="1711"/>
        <w:gridCol w:w="1710"/>
        <w:gridCol w:w="1886"/>
        <w:gridCol w:w="1710"/>
        <w:gridCol w:w="1710"/>
      </w:tblGrid>
      <w:tr w:rsidR="00803D13" w:rsidRPr="00E0176A" w14:paraId="01F5F289" w14:textId="77777777" w:rsidTr="00803D13">
        <w:tc>
          <w:tcPr>
            <w:tcW w:w="1973" w:type="pct"/>
            <w:shd w:val="clear" w:color="auto" w:fill="E5DFEC" w:themeFill="accent4" w:themeFillTint="33"/>
          </w:tcPr>
          <w:p w14:paraId="7C3FF590" w14:textId="77777777" w:rsidR="00C57849" w:rsidRPr="00E0176A" w:rsidRDefault="00C57849" w:rsidP="00C57849">
            <w:pPr>
              <w:jc w:val="center"/>
              <w:rPr>
                <w:rFonts w:ascii="Cambria" w:hAnsi="Cambria"/>
                <w:b/>
                <w:color w:val="BFBFBF" w:themeColor="background1" w:themeShade="BF"/>
              </w:rPr>
            </w:pPr>
          </w:p>
          <w:p w14:paraId="3CBC92D1" w14:textId="6415BDC1" w:rsidR="00C57849" w:rsidRPr="0078636C" w:rsidRDefault="00AC2464" w:rsidP="00C5784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ARGUMENT</w:t>
            </w:r>
          </w:p>
        </w:tc>
        <w:tc>
          <w:tcPr>
            <w:tcW w:w="593" w:type="pct"/>
            <w:shd w:val="clear" w:color="auto" w:fill="E5DFEC" w:themeFill="accent4" w:themeFillTint="33"/>
            <w:vAlign w:val="center"/>
          </w:tcPr>
          <w:p w14:paraId="29593F5B" w14:textId="77777777" w:rsidR="00ED6DB5" w:rsidRPr="00E0176A" w:rsidRDefault="00ED6DB5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Missing/</w:t>
            </w:r>
          </w:p>
          <w:p w14:paraId="3E0269C5" w14:textId="7F6073AB" w:rsidR="00C57849" w:rsidRPr="00981BB7" w:rsidRDefault="00ED6DB5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Incomplete</w:t>
            </w:r>
          </w:p>
        </w:tc>
        <w:tc>
          <w:tcPr>
            <w:tcW w:w="593" w:type="pct"/>
            <w:shd w:val="clear" w:color="auto" w:fill="E5DFEC" w:themeFill="accent4" w:themeFillTint="33"/>
            <w:vAlign w:val="center"/>
          </w:tcPr>
          <w:p w14:paraId="7A3FD085" w14:textId="0261DCCE" w:rsidR="00533A01" w:rsidRPr="00E0176A" w:rsidRDefault="00533A01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Not</w:t>
            </w:r>
          </w:p>
          <w:p w14:paraId="7DA08261" w14:textId="5402C74A" w:rsidR="00C57849" w:rsidRPr="00E0176A" w:rsidRDefault="00533A01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S</w:t>
            </w:r>
            <w:r w:rsidR="00ED6DB5" w:rsidRPr="00E0176A">
              <w:rPr>
                <w:rFonts w:ascii="Cambria" w:hAnsi="Cambria"/>
                <w:b/>
                <w:sz w:val="18"/>
                <w:szCs w:val="18"/>
              </w:rPr>
              <w:t>atisfactory</w:t>
            </w:r>
          </w:p>
        </w:tc>
        <w:tc>
          <w:tcPr>
            <w:tcW w:w="654" w:type="pct"/>
            <w:shd w:val="clear" w:color="auto" w:fill="E5DFEC" w:themeFill="accent4" w:themeFillTint="33"/>
            <w:vAlign w:val="center"/>
          </w:tcPr>
          <w:p w14:paraId="11B6BEF3" w14:textId="77777777" w:rsidR="00C57849" w:rsidRPr="00E0176A" w:rsidRDefault="00ED6DB5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Satisfactory</w:t>
            </w:r>
          </w:p>
        </w:tc>
        <w:tc>
          <w:tcPr>
            <w:tcW w:w="593" w:type="pct"/>
            <w:shd w:val="clear" w:color="auto" w:fill="E5DFEC" w:themeFill="accent4" w:themeFillTint="33"/>
            <w:vAlign w:val="center"/>
          </w:tcPr>
          <w:p w14:paraId="2AC81F8F" w14:textId="77777777" w:rsidR="00C57849" w:rsidRPr="00E0176A" w:rsidRDefault="00ED6DB5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Good</w:t>
            </w:r>
          </w:p>
        </w:tc>
        <w:tc>
          <w:tcPr>
            <w:tcW w:w="593" w:type="pct"/>
            <w:shd w:val="clear" w:color="auto" w:fill="E5DFEC" w:themeFill="accent4" w:themeFillTint="33"/>
            <w:vAlign w:val="center"/>
          </w:tcPr>
          <w:p w14:paraId="5A6F7C07" w14:textId="77777777" w:rsidR="00C57849" w:rsidRPr="00E0176A" w:rsidRDefault="00ED6DB5" w:rsidP="00981B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Excellent</w:t>
            </w:r>
          </w:p>
        </w:tc>
      </w:tr>
      <w:tr w:rsidR="00803D13" w:rsidRPr="00E0176A" w14:paraId="2D4D1440" w14:textId="77777777" w:rsidTr="00803D13">
        <w:trPr>
          <w:trHeight w:val="620"/>
        </w:trPr>
        <w:tc>
          <w:tcPr>
            <w:tcW w:w="1973" w:type="pct"/>
            <w:shd w:val="clear" w:color="auto" w:fill="E5DFEC" w:themeFill="accent4" w:themeFillTint="33"/>
          </w:tcPr>
          <w:p w14:paraId="6AF4C598" w14:textId="72773F46" w:rsidR="00C57849" w:rsidRPr="00AC2464" w:rsidRDefault="00AC2464" w:rsidP="00DA4C7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Argument</w:t>
            </w:r>
            <w:r w:rsidR="00AA3310">
              <w:rPr>
                <w:rFonts w:ascii="Cambria" w:hAnsi="Cambria"/>
                <w:b/>
                <w:sz w:val="18"/>
                <w:szCs w:val="18"/>
              </w:rPr>
              <w:t>:</w:t>
            </w:r>
            <w:r w:rsidR="005A3365" w:rsidRPr="00E0176A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Argument takes an arguable stance on a particular issue and supports that position with evidence that is appropriate for both the issue and the </w:t>
            </w:r>
            <w:r w:rsidR="00D0411A">
              <w:rPr>
                <w:rFonts w:ascii="Cambria" w:hAnsi="Cambria"/>
                <w:sz w:val="18"/>
                <w:szCs w:val="18"/>
              </w:rPr>
              <w:t>audience</w:t>
            </w:r>
            <w:r>
              <w:rPr>
                <w:rFonts w:ascii="Cambria" w:hAnsi="Cambria"/>
                <w:sz w:val="18"/>
                <w:szCs w:val="18"/>
              </w:rPr>
              <w:t xml:space="preserve">. </w:t>
            </w:r>
            <w:r w:rsidR="00D0411A">
              <w:rPr>
                <w:rFonts w:ascii="Cambria" w:hAnsi="Cambria"/>
                <w:sz w:val="18"/>
                <w:szCs w:val="18"/>
              </w:rPr>
              <w:t xml:space="preserve">Audience is intentionally chosen and clearly considered. </w:t>
            </w:r>
            <w:r>
              <w:rPr>
                <w:rFonts w:ascii="Cambria" w:hAnsi="Cambria"/>
                <w:sz w:val="18"/>
                <w:szCs w:val="18"/>
              </w:rPr>
              <w:t xml:space="preserve">Argument is </w:t>
            </w:r>
            <w:r w:rsidRPr="00D0411A">
              <w:rPr>
                <w:rFonts w:ascii="Cambria" w:hAnsi="Cambria"/>
                <w:b/>
                <w:sz w:val="18"/>
                <w:szCs w:val="18"/>
              </w:rPr>
              <w:t>valid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D0411A">
              <w:rPr>
                <w:rFonts w:ascii="Cambria" w:hAnsi="Cambria"/>
                <w:b/>
                <w:sz w:val="18"/>
                <w:szCs w:val="18"/>
              </w:rPr>
              <w:t>productive</w:t>
            </w:r>
            <w:r>
              <w:rPr>
                <w:rFonts w:ascii="Cambria" w:hAnsi="Cambria"/>
                <w:sz w:val="18"/>
                <w:szCs w:val="18"/>
              </w:rPr>
              <w:t xml:space="preserve">, and </w:t>
            </w:r>
            <w:r w:rsidR="00D0411A" w:rsidRPr="00D0411A">
              <w:rPr>
                <w:rFonts w:ascii="Cambria" w:hAnsi="Cambria"/>
                <w:b/>
                <w:sz w:val="18"/>
                <w:szCs w:val="18"/>
              </w:rPr>
              <w:t>ethical</w:t>
            </w:r>
            <w:r w:rsidR="00D0411A">
              <w:rPr>
                <w:rFonts w:ascii="Cambria" w:hAnsi="Cambria"/>
                <w:sz w:val="18"/>
                <w:szCs w:val="18"/>
              </w:rPr>
              <w:t xml:space="preserve"> in its composition, claims, and sources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="00D0411A">
              <w:rPr>
                <w:rFonts w:ascii="Cambria" w:hAnsi="Cambria"/>
                <w:sz w:val="18"/>
                <w:szCs w:val="18"/>
              </w:rPr>
              <w:t xml:space="preserve"> Argument considers a counterargument or alternative viewpoints. </w:t>
            </w:r>
          </w:p>
          <w:p w14:paraId="41EF55D2" w14:textId="7AB77447" w:rsidR="00DA4C76" w:rsidRPr="00E0176A" w:rsidRDefault="00DA4C76" w:rsidP="00DA4C7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3" w:type="pct"/>
          </w:tcPr>
          <w:p w14:paraId="15BC371A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709AA3CE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778AFAFC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29CB9E25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037EAA04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</w:tr>
      <w:tr w:rsidR="00803D13" w:rsidRPr="00E0176A" w14:paraId="4255B0A6" w14:textId="77777777" w:rsidTr="00803D13">
        <w:trPr>
          <w:trHeight w:val="647"/>
        </w:trPr>
        <w:tc>
          <w:tcPr>
            <w:tcW w:w="1973" w:type="pct"/>
            <w:shd w:val="clear" w:color="auto" w:fill="E5DFEC" w:themeFill="accent4" w:themeFillTint="33"/>
          </w:tcPr>
          <w:p w14:paraId="5442F384" w14:textId="3C808AD4" w:rsidR="00AC2464" w:rsidRDefault="00AC2464" w:rsidP="00AC246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Form/Design</w:t>
            </w:r>
            <w:r>
              <w:rPr>
                <w:rFonts w:ascii="Cambria" w:hAnsi="Cambria"/>
                <w:sz w:val="18"/>
                <w:szCs w:val="18"/>
              </w:rPr>
              <w:t xml:space="preserve">: The design of the argument is coherent and visually appealing. Form has been intentionally selected for the audience, and materials, layout, and design have been used effectively for rhetorical purposes. </w:t>
            </w:r>
          </w:p>
          <w:p w14:paraId="010EA8F4" w14:textId="1B593DC2" w:rsidR="007A642B" w:rsidRPr="00E0176A" w:rsidRDefault="007A642B" w:rsidP="00AC246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14:paraId="2A7459FB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4CACB4A5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189B07B5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0E8359D0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601936BC" w14:textId="77777777" w:rsidR="00C57849" w:rsidRPr="00E0176A" w:rsidRDefault="00C57849" w:rsidP="00ED6DB5">
            <w:pPr>
              <w:rPr>
                <w:rFonts w:ascii="Cambria" w:hAnsi="Cambria"/>
              </w:rPr>
            </w:pPr>
          </w:p>
        </w:tc>
      </w:tr>
      <w:tr w:rsidR="00803D13" w:rsidRPr="00E0176A" w14:paraId="5C5A1F4E" w14:textId="77777777" w:rsidTr="00803D13">
        <w:trPr>
          <w:trHeight w:val="629"/>
        </w:trPr>
        <w:tc>
          <w:tcPr>
            <w:tcW w:w="1973" w:type="pct"/>
            <w:shd w:val="clear" w:color="auto" w:fill="E5DFEC" w:themeFill="accent4" w:themeFillTint="33"/>
          </w:tcPr>
          <w:p w14:paraId="2FEC508B" w14:textId="32EA8C61" w:rsidR="00AC2464" w:rsidRDefault="00AC2464" w:rsidP="00AC246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Sources:</w:t>
            </w:r>
            <w:r w:rsidRPr="00E0176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332E4">
              <w:rPr>
                <w:rFonts w:ascii="Cambria" w:hAnsi="Cambria"/>
                <w:sz w:val="18"/>
                <w:szCs w:val="18"/>
              </w:rPr>
              <w:t>7</w:t>
            </w:r>
            <w:r w:rsidR="00D0411A">
              <w:rPr>
                <w:rFonts w:ascii="Cambria" w:hAnsi="Cambria"/>
                <w:sz w:val="18"/>
                <w:szCs w:val="18"/>
              </w:rPr>
              <w:t xml:space="preserve">-10 </w:t>
            </w:r>
            <w:r>
              <w:rPr>
                <w:rFonts w:ascii="Cambria" w:hAnsi="Cambria"/>
                <w:sz w:val="18"/>
                <w:szCs w:val="18"/>
              </w:rPr>
              <w:t xml:space="preserve">sources are </w:t>
            </w:r>
            <w:r w:rsidR="00D0411A">
              <w:rPr>
                <w:rFonts w:ascii="Cambria" w:hAnsi="Cambria"/>
                <w:sz w:val="18"/>
                <w:szCs w:val="18"/>
              </w:rPr>
              <w:t xml:space="preserve">used in the argument, and they are </w:t>
            </w:r>
            <w:r>
              <w:rPr>
                <w:rFonts w:ascii="Cambria" w:hAnsi="Cambria"/>
                <w:sz w:val="18"/>
                <w:szCs w:val="18"/>
              </w:rPr>
              <w:t>reputable, timely, and appropriate to the issue</w:t>
            </w:r>
            <w:r w:rsidR="00D0411A">
              <w:rPr>
                <w:rFonts w:ascii="Cambria" w:hAnsi="Cambria"/>
                <w:sz w:val="18"/>
                <w:szCs w:val="18"/>
              </w:rPr>
              <w:t xml:space="preserve"> and audience</w:t>
            </w:r>
            <w:r>
              <w:rPr>
                <w:rFonts w:ascii="Cambria" w:hAnsi="Cambria"/>
                <w:sz w:val="18"/>
                <w:szCs w:val="18"/>
              </w:rPr>
              <w:t xml:space="preserve">. </w:t>
            </w:r>
            <w:r w:rsidR="00D0411A">
              <w:rPr>
                <w:rFonts w:ascii="Cambria" w:hAnsi="Cambria"/>
                <w:sz w:val="18"/>
                <w:szCs w:val="18"/>
              </w:rPr>
              <w:t>They</w:t>
            </w:r>
            <w:r w:rsidR="000332E4">
              <w:rPr>
                <w:rFonts w:ascii="Cambria" w:hAnsi="Cambria"/>
                <w:sz w:val="18"/>
                <w:szCs w:val="18"/>
              </w:rPr>
              <w:t xml:space="preserve"> are used well and ethically. All s</w:t>
            </w:r>
            <w:r w:rsidR="00D0411A">
              <w:rPr>
                <w:rFonts w:ascii="Cambria" w:hAnsi="Cambria"/>
                <w:sz w:val="18"/>
                <w:szCs w:val="18"/>
              </w:rPr>
              <w:t>ources have been cited in ways appropriate to the format of the argument</w:t>
            </w:r>
            <w:r>
              <w:rPr>
                <w:rFonts w:ascii="Cambria" w:hAnsi="Cambria"/>
                <w:sz w:val="18"/>
                <w:szCs w:val="18"/>
              </w:rPr>
              <w:t xml:space="preserve">. One source is scholarly, and one has been published in the last year. </w:t>
            </w:r>
          </w:p>
          <w:p w14:paraId="6C66AEC9" w14:textId="6F84C44C" w:rsidR="00241EAD" w:rsidRPr="00E0176A" w:rsidRDefault="00241EAD" w:rsidP="00AC246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3" w:type="pct"/>
          </w:tcPr>
          <w:p w14:paraId="3A4C5719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1DB61A26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6E15E2E4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58AE42C8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3044D989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</w:tr>
      <w:tr w:rsidR="0078636C" w:rsidRPr="00E0176A" w14:paraId="6AA6E890" w14:textId="77777777" w:rsidTr="00803D13">
        <w:trPr>
          <w:trHeight w:val="629"/>
        </w:trPr>
        <w:tc>
          <w:tcPr>
            <w:tcW w:w="1973" w:type="pct"/>
            <w:shd w:val="clear" w:color="auto" w:fill="E5DFEC" w:themeFill="accent4" w:themeFillTint="33"/>
          </w:tcPr>
          <w:p w14:paraId="6FCF9AD2" w14:textId="6FA997C6" w:rsidR="0078636C" w:rsidRDefault="0078636C" w:rsidP="007A642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Drafting and Revision: </w:t>
            </w:r>
            <w:r w:rsidR="000963E3">
              <w:rPr>
                <w:rFonts w:ascii="Cambria" w:hAnsi="Cambria"/>
                <w:sz w:val="18"/>
                <w:szCs w:val="18"/>
              </w:rPr>
              <w:t>Complete drafts</w:t>
            </w:r>
            <w:r w:rsidR="000963E3" w:rsidRPr="00E0176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963E3">
              <w:rPr>
                <w:rFonts w:ascii="Cambria" w:hAnsi="Cambria"/>
                <w:sz w:val="18"/>
                <w:szCs w:val="18"/>
              </w:rPr>
              <w:t xml:space="preserve">are submitted on time. </w:t>
            </w:r>
            <w:r w:rsidR="000963E3" w:rsidRPr="00E0176A">
              <w:rPr>
                <w:rFonts w:ascii="Cambria" w:hAnsi="Cambria"/>
                <w:sz w:val="18"/>
                <w:szCs w:val="18"/>
              </w:rPr>
              <w:t>Revision demonstrates attention to peer and teacher feedback.</w:t>
            </w:r>
          </w:p>
          <w:p w14:paraId="682D091C" w14:textId="1A354E5F" w:rsidR="00241EAD" w:rsidRPr="0078636C" w:rsidRDefault="00241EAD" w:rsidP="007A642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14:paraId="22C35941" w14:textId="77777777" w:rsidR="0078636C" w:rsidRPr="00E0176A" w:rsidRDefault="0078636C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3B43E389" w14:textId="77777777" w:rsidR="0078636C" w:rsidRPr="00E0176A" w:rsidRDefault="0078636C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367CDF34" w14:textId="77777777" w:rsidR="0078636C" w:rsidRPr="00E0176A" w:rsidRDefault="0078636C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6F8B9EF6" w14:textId="77777777" w:rsidR="0078636C" w:rsidRPr="00E0176A" w:rsidRDefault="0078636C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5A5E31BC" w14:textId="77777777" w:rsidR="0078636C" w:rsidRPr="00E0176A" w:rsidRDefault="0078636C" w:rsidP="00ED6DB5">
            <w:pPr>
              <w:rPr>
                <w:rFonts w:ascii="Cambria" w:hAnsi="Cambria"/>
              </w:rPr>
            </w:pPr>
          </w:p>
        </w:tc>
      </w:tr>
      <w:tr w:rsidR="0078636C" w:rsidRPr="00E0176A" w14:paraId="29181CEE" w14:textId="77777777" w:rsidTr="00803D13">
        <w:trPr>
          <w:trHeight w:val="629"/>
        </w:trPr>
        <w:tc>
          <w:tcPr>
            <w:tcW w:w="1973" w:type="pct"/>
            <w:shd w:val="clear" w:color="auto" w:fill="E5DFEC" w:themeFill="accent4" w:themeFillTint="33"/>
          </w:tcPr>
          <w:p w14:paraId="224F3E24" w14:textId="77777777" w:rsidR="0078636C" w:rsidRDefault="0078636C" w:rsidP="0078636C">
            <w:pPr>
              <w:jc w:val="center"/>
              <w:rPr>
                <w:rFonts w:ascii="Cambria" w:hAnsi="Cambria"/>
                <w:b/>
              </w:rPr>
            </w:pPr>
          </w:p>
          <w:p w14:paraId="229CA483" w14:textId="03D4C71B" w:rsidR="0078636C" w:rsidRDefault="0078636C" w:rsidP="000D118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</w:rPr>
              <w:t>SOGC</w:t>
            </w:r>
          </w:p>
        </w:tc>
        <w:tc>
          <w:tcPr>
            <w:tcW w:w="593" w:type="pct"/>
          </w:tcPr>
          <w:p w14:paraId="6E5FEEC2" w14:textId="77777777" w:rsidR="0078636C" w:rsidRPr="00E0176A" w:rsidRDefault="0078636C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71577904" w14:textId="77777777" w:rsidR="0078636C" w:rsidRPr="00E0176A" w:rsidRDefault="0078636C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43CA8810" w14:textId="77777777" w:rsidR="0078636C" w:rsidRPr="00E0176A" w:rsidRDefault="0078636C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4BD2A029" w14:textId="77777777" w:rsidR="0078636C" w:rsidRPr="00E0176A" w:rsidRDefault="0078636C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6A571045" w14:textId="77777777" w:rsidR="0078636C" w:rsidRPr="00E0176A" w:rsidRDefault="0078636C" w:rsidP="00ED6DB5">
            <w:pPr>
              <w:rPr>
                <w:rFonts w:ascii="Cambria" w:hAnsi="Cambria"/>
              </w:rPr>
            </w:pPr>
          </w:p>
        </w:tc>
      </w:tr>
      <w:tr w:rsidR="000963E3" w:rsidRPr="00E0176A" w14:paraId="19ED17C3" w14:textId="77777777" w:rsidTr="00803D13">
        <w:trPr>
          <w:trHeight w:val="593"/>
        </w:trPr>
        <w:tc>
          <w:tcPr>
            <w:tcW w:w="1973" w:type="pct"/>
            <w:shd w:val="clear" w:color="auto" w:fill="E5DFEC" w:themeFill="accent4" w:themeFillTint="33"/>
          </w:tcPr>
          <w:p w14:paraId="090D8DC9" w14:textId="6FE4605B" w:rsidR="000963E3" w:rsidRDefault="000963E3" w:rsidP="000963E3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Rhetorical Goals:</w:t>
            </w:r>
            <w:r w:rsidR="00241EA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645E54">
              <w:rPr>
                <w:rFonts w:ascii="Cambria" w:hAnsi="Cambria"/>
                <w:sz w:val="18"/>
                <w:szCs w:val="18"/>
              </w:rPr>
              <w:t xml:space="preserve">The </w:t>
            </w:r>
            <w:r w:rsidR="00D0411A">
              <w:rPr>
                <w:rFonts w:ascii="Cambria" w:hAnsi="Cambria"/>
                <w:sz w:val="18"/>
                <w:szCs w:val="18"/>
              </w:rPr>
              <w:t>audience</w:t>
            </w:r>
            <w:r w:rsidR="00645E54">
              <w:rPr>
                <w:rFonts w:ascii="Cambria" w:hAnsi="Cambria"/>
                <w:sz w:val="18"/>
                <w:szCs w:val="18"/>
              </w:rPr>
              <w:t xml:space="preserve">, the sources, and </w:t>
            </w:r>
            <w:r w:rsidR="00241EAD">
              <w:rPr>
                <w:rFonts w:ascii="Cambria" w:hAnsi="Cambria"/>
                <w:sz w:val="18"/>
                <w:szCs w:val="18"/>
              </w:rPr>
              <w:t xml:space="preserve">the </w:t>
            </w:r>
            <w:r w:rsidR="00D0411A">
              <w:rPr>
                <w:rFonts w:ascii="Cambria" w:hAnsi="Cambria"/>
                <w:sz w:val="18"/>
                <w:szCs w:val="18"/>
              </w:rPr>
              <w:t>argument</w:t>
            </w:r>
            <w:r w:rsidR="00241EAD">
              <w:rPr>
                <w:rFonts w:ascii="Cambria" w:hAnsi="Cambria"/>
                <w:sz w:val="18"/>
                <w:szCs w:val="18"/>
              </w:rPr>
              <w:t xml:space="preserve"> are discussed in regard to what the </w:t>
            </w:r>
            <w:r w:rsidR="00D0411A">
              <w:rPr>
                <w:rFonts w:ascii="Cambria" w:hAnsi="Cambria"/>
                <w:sz w:val="18"/>
                <w:szCs w:val="18"/>
              </w:rPr>
              <w:t>argument</w:t>
            </w:r>
            <w:r w:rsidR="00241EAD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0411A">
              <w:rPr>
                <w:rFonts w:ascii="Cambria" w:hAnsi="Cambria"/>
                <w:sz w:val="18"/>
                <w:szCs w:val="18"/>
              </w:rPr>
              <w:t>is</w:t>
            </w:r>
            <w:r w:rsidR="00645E54">
              <w:rPr>
                <w:rFonts w:ascii="Cambria" w:hAnsi="Cambria"/>
                <w:sz w:val="18"/>
                <w:szCs w:val="18"/>
              </w:rPr>
              <w:t xml:space="preserve"> specifically</w:t>
            </w:r>
            <w:r w:rsidR="00241EAD">
              <w:rPr>
                <w:rFonts w:ascii="Cambria" w:hAnsi="Cambria"/>
                <w:sz w:val="18"/>
                <w:szCs w:val="18"/>
              </w:rPr>
              <w:t xml:space="preserve"> trying to accomplish and do</w:t>
            </w:r>
            <w:r w:rsidR="00645E54">
              <w:rPr>
                <w:rFonts w:ascii="Cambria" w:hAnsi="Cambria"/>
                <w:sz w:val="18"/>
                <w:szCs w:val="18"/>
              </w:rPr>
              <w:t>, beyond just the requirements of the project</w:t>
            </w:r>
            <w:r w:rsidR="00241EAD">
              <w:rPr>
                <w:rFonts w:ascii="Cambria" w:hAnsi="Cambria"/>
                <w:sz w:val="18"/>
                <w:szCs w:val="18"/>
              </w:rPr>
              <w:t xml:space="preserve">. How the goals were </w:t>
            </w:r>
            <w:r w:rsidR="00645E54">
              <w:rPr>
                <w:rFonts w:ascii="Cambria" w:hAnsi="Cambria"/>
                <w:sz w:val="18"/>
                <w:szCs w:val="18"/>
              </w:rPr>
              <w:t xml:space="preserve">(or were not) </w:t>
            </w:r>
            <w:r w:rsidR="00241EAD">
              <w:rPr>
                <w:rFonts w:ascii="Cambria" w:hAnsi="Cambria"/>
                <w:sz w:val="18"/>
                <w:szCs w:val="18"/>
              </w:rPr>
              <w:t xml:space="preserve">accomplished </w:t>
            </w:r>
            <w:r w:rsidR="00645E54">
              <w:rPr>
                <w:rFonts w:ascii="Cambria" w:hAnsi="Cambria"/>
                <w:sz w:val="18"/>
                <w:szCs w:val="18"/>
              </w:rPr>
              <w:t xml:space="preserve">through rhetorical choices is also discussed. </w:t>
            </w:r>
          </w:p>
          <w:p w14:paraId="0351BCD1" w14:textId="6DA25E6E" w:rsidR="00241EAD" w:rsidRPr="00241EAD" w:rsidRDefault="00241EAD" w:rsidP="000963E3">
            <w:pPr>
              <w:pStyle w:val="BodyTex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3" w:type="pct"/>
          </w:tcPr>
          <w:p w14:paraId="71C54B84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38EF083F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451C2071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63157ACC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4A14C597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</w:tr>
      <w:tr w:rsidR="000963E3" w:rsidRPr="00E0176A" w14:paraId="6FCA0920" w14:textId="77777777" w:rsidTr="00803D13">
        <w:trPr>
          <w:trHeight w:val="593"/>
        </w:trPr>
        <w:tc>
          <w:tcPr>
            <w:tcW w:w="1973" w:type="pct"/>
            <w:shd w:val="clear" w:color="auto" w:fill="E5DFEC" w:themeFill="accent4" w:themeFillTint="33"/>
          </w:tcPr>
          <w:p w14:paraId="2BF3E454" w14:textId="58306770" w:rsidR="00241EAD" w:rsidRDefault="000963E3" w:rsidP="00241EAD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Rhetorical Choices:</w:t>
            </w:r>
            <w:r w:rsidR="00241EAD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241EAD">
              <w:rPr>
                <w:rFonts w:ascii="Cambria" w:hAnsi="Cambria"/>
                <w:sz w:val="18"/>
                <w:szCs w:val="18"/>
              </w:rPr>
              <w:t>Specific rhetorical, material, methodological, and tech</w:t>
            </w:r>
            <w:r w:rsidR="00D0411A">
              <w:rPr>
                <w:rFonts w:ascii="Cambria" w:hAnsi="Cambria"/>
                <w:sz w:val="18"/>
                <w:szCs w:val="18"/>
              </w:rPr>
              <w:t>nological choices are explained</w:t>
            </w:r>
            <w:r w:rsidR="00241EAD">
              <w:rPr>
                <w:rFonts w:ascii="Cambria" w:hAnsi="Cambria"/>
                <w:sz w:val="18"/>
                <w:szCs w:val="18"/>
              </w:rPr>
              <w:t xml:space="preserve"> as they relate to the rhetorical goals</w:t>
            </w:r>
            <w:r w:rsidR="00D0411A">
              <w:rPr>
                <w:rFonts w:ascii="Cambria" w:hAnsi="Cambria"/>
                <w:sz w:val="18"/>
                <w:szCs w:val="18"/>
              </w:rPr>
              <w:t xml:space="preserve"> and the audience</w:t>
            </w:r>
            <w:r w:rsidR="00241EAD">
              <w:rPr>
                <w:rFonts w:ascii="Cambria" w:hAnsi="Cambria"/>
                <w:sz w:val="18"/>
                <w:szCs w:val="18"/>
              </w:rPr>
              <w:t xml:space="preserve">. Also catalogued are choices </w:t>
            </w:r>
            <w:r w:rsidR="00645E54">
              <w:rPr>
                <w:rFonts w:ascii="Cambria" w:hAnsi="Cambria"/>
                <w:sz w:val="18"/>
                <w:szCs w:val="18"/>
              </w:rPr>
              <w:t xml:space="preserve">that may not have been conscious, made when certain </w:t>
            </w:r>
            <w:r w:rsidR="00D0411A">
              <w:rPr>
                <w:rFonts w:ascii="Cambria" w:hAnsi="Cambria"/>
                <w:sz w:val="18"/>
                <w:szCs w:val="18"/>
              </w:rPr>
              <w:t>formats/</w:t>
            </w:r>
            <w:r w:rsidR="00645E54">
              <w:rPr>
                <w:rFonts w:ascii="Cambria" w:hAnsi="Cambria"/>
                <w:sz w:val="18"/>
                <w:szCs w:val="18"/>
              </w:rPr>
              <w:t>genres, materials, and technologies were chosen for the project.</w:t>
            </w:r>
          </w:p>
          <w:p w14:paraId="18F03FE2" w14:textId="57712DB9" w:rsidR="00645E54" w:rsidRPr="00241EAD" w:rsidRDefault="00645E54" w:rsidP="00241EAD">
            <w:pPr>
              <w:pStyle w:val="BodyTex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3" w:type="pct"/>
          </w:tcPr>
          <w:p w14:paraId="53CF794C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596D3B4A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4E886830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6211DF43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62AF07C5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</w:tr>
      <w:tr w:rsidR="000963E3" w:rsidRPr="00E0176A" w14:paraId="50E95F70" w14:textId="77777777" w:rsidTr="00803D13">
        <w:trPr>
          <w:trHeight w:val="593"/>
        </w:trPr>
        <w:tc>
          <w:tcPr>
            <w:tcW w:w="1973" w:type="pct"/>
            <w:shd w:val="clear" w:color="auto" w:fill="E5DFEC" w:themeFill="accent4" w:themeFillTint="33"/>
          </w:tcPr>
          <w:p w14:paraId="758BD696" w14:textId="5C18B880" w:rsidR="00645E54" w:rsidRDefault="000963E3" w:rsidP="00645E5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</w:t>
            </w:r>
            <w:r w:rsidR="00241EAD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  <w:r w:rsidR="00645E54">
              <w:rPr>
                <w:rFonts w:ascii="Cambria" w:hAnsi="Cambria"/>
                <w:sz w:val="18"/>
                <w:szCs w:val="18"/>
              </w:rPr>
              <w:t xml:space="preserve">The design and creation process is articulated and put in conversation with the rhetorical goals and choices of the </w:t>
            </w:r>
            <w:r w:rsidR="00D0411A">
              <w:rPr>
                <w:rFonts w:ascii="Cambria" w:hAnsi="Cambria"/>
                <w:sz w:val="18"/>
                <w:szCs w:val="18"/>
              </w:rPr>
              <w:t>argument</w:t>
            </w:r>
            <w:r w:rsidR="00645E54">
              <w:rPr>
                <w:rFonts w:ascii="Cambria" w:hAnsi="Cambria"/>
                <w:sz w:val="18"/>
                <w:szCs w:val="18"/>
              </w:rPr>
              <w:t xml:space="preserve">. Also discussed is why this plan and design was pursued, as well as the successes and failures of the </w:t>
            </w:r>
            <w:r w:rsidR="00D0411A">
              <w:rPr>
                <w:rFonts w:ascii="Cambria" w:hAnsi="Cambria"/>
                <w:sz w:val="18"/>
                <w:szCs w:val="18"/>
              </w:rPr>
              <w:t>argument</w:t>
            </w:r>
            <w:r w:rsidR="00645E54">
              <w:rPr>
                <w:rFonts w:ascii="Cambria" w:hAnsi="Cambria"/>
                <w:sz w:val="18"/>
                <w:szCs w:val="18"/>
              </w:rPr>
              <w:t>. All actors, human and nonhuman, are catalogued.</w:t>
            </w:r>
          </w:p>
          <w:p w14:paraId="0632B8EB" w14:textId="4ABD12D7" w:rsidR="000963E3" w:rsidRDefault="000963E3" w:rsidP="00645E54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14:paraId="62ECC59E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30662BB8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5AA80C35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7BE92956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3AE3D183" w14:textId="77777777" w:rsidR="000963E3" w:rsidRPr="00E0176A" w:rsidRDefault="000963E3" w:rsidP="00ED6DB5">
            <w:pPr>
              <w:rPr>
                <w:rFonts w:ascii="Cambria" w:hAnsi="Cambria"/>
              </w:rPr>
            </w:pPr>
          </w:p>
        </w:tc>
      </w:tr>
      <w:tr w:rsidR="00803D13" w:rsidRPr="00E0176A" w14:paraId="0E935C62" w14:textId="77777777" w:rsidTr="00803D13">
        <w:trPr>
          <w:trHeight w:val="530"/>
        </w:trPr>
        <w:tc>
          <w:tcPr>
            <w:tcW w:w="1973" w:type="pct"/>
            <w:shd w:val="clear" w:color="auto" w:fill="E5DFEC" w:themeFill="accent4" w:themeFillTint="33"/>
          </w:tcPr>
          <w:p w14:paraId="4B530C73" w14:textId="53FD0BBA" w:rsidR="00670A67" w:rsidRDefault="005A3365" w:rsidP="00670A67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lastRenderedPageBreak/>
              <w:t>Drafting and Revision</w:t>
            </w:r>
            <w:r w:rsidR="00670A67" w:rsidRPr="00E0176A">
              <w:rPr>
                <w:rFonts w:ascii="Cambria" w:hAnsi="Cambria"/>
                <w:b/>
                <w:sz w:val="18"/>
                <w:szCs w:val="18"/>
              </w:rPr>
              <w:t xml:space="preserve">: </w:t>
            </w:r>
            <w:r w:rsidR="00D37BF9">
              <w:rPr>
                <w:rFonts w:ascii="Cambria" w:hAnsi="Cambria"/>
                <w:sz w:val="18"/>
                <w:szCs w:val="18"/>
              </w:rPr>
              <w:t>Complete drafts</w:t>
            </w:r>
            <w:r w:rsidR="00670A67" w:rsidRPr="00E0176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D37BF9">
              <w:rPr>
                <w:rFonts w:ascii="Cambria" w:hAnsi="Cambria"/>
                <w:sz w:val="18"/>
                <w:szCs w:val="18"/>
              </w:rPr>
              <w:t xml:space="preserve">are submitted on time. </w:t>
            </w:r>
            <w:r w:rsidR="00670A67" w:rsidRPr="00E0176A">
              <w:rPr>
                <w:rFonts w:ascii="Cambria" w:hAnsi="Cambria"/>
                <w:sz w:val="18"/>
                <w:szCs w:val="18"/>
              </w:rPr>
              <w:t>Revision demonstrates attention t</w:t>
            </w:r>
            <w:r w:rsidR="006114B5" w:rsidRPr="00E0176A">
              <w:rPr>
                <w:rFonts w:ascii="Cambria" w:hAnsi="Cambria"/>
                <w:sz w:val="18"/>
                <w:szCs w:val="18"/>
              </w:rPr>
              <w:t>o peer and teacher</w:t>
            </w:r>
            <w:r w:rsidR="00670A67" w:rsidRPr="00E0176A">
              <w:rPr>
                <w:rFonts w:ascii="Cambria" w:hAnsi="Cambria"/>
                <w:sz w:val="18"/>
                <w:szCs w:val="18"/>
              </w:rPr>
              <w:t xml:space="preserve"> feedback.</w:t>
            </w:r>
          </w:p>
          <w:p w14:paraId="30B8A3EA" w14:textId="0A0C464A" w:rsidR="00645E54" w:rsidRPr="000963E3" w:rsidRDefault="00645E54" w:rsidP="00670A67">
            <w:pPr>
              <w:pStyle w:val="BodyTex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3" w:type="pct"/>
          </w:tcPr>
          <w:p w14:paraId="3675023A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41E34A14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479DC765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0AF73746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49103A24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</w:tr>
      <w:tr w:rsidR="00803D13" w:rsidRPr="00E0176A" w14:paraId="0B350708" w14:textId="77777777" w:rsidTr="00803D13">
        <w:trPr>
          <w:trHeight w:val="575"/>
        </w:trPr>
        <w:tc>
          <w:tcPr>
            <w:tcW w:w="1973" w:type="pct"/>
            <w:shd w:val="clear" w:color="auto" w:fill="E5DFEC" w:themeFill="accent4" w:themeFillTint="33"/>
          </w:tcPr>
          <w:p w14:paraId="68A6DDA8" w14:textId="689BAAA9" w:rsidR="00670A67" w:rsidRPr="00E0176A" w:rsidRDefault="00865F99" w:rsidP="00BB79E3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Workshop Participation</w:t>
            </w:r>
            <w:r w:rsidR="00910BF7">
              <w:rPr>
                <w:rFonts w:ascii="Cambria" w:hAnsi="Cambria"/>
                <w:b/>
                <w:sz w:val="18"/>
                <w:szCs w:val="18"/>
              </w:rPr>
              <w:t>:</w:t>
            </w:r>
            <w:r w:rsidR="00BB79E3" w:rsidRPr="00E0176A">
              <w:rPr>
                <w:rFonts w:ascii="Cambria" w:hAnsi="Cambria"/>
                <w:sz w:val="18"/>
                <w:szCs w:val="18"/>
              </w:rPr>
              <w:t xml:space="preserve"> Peer response shows attention to assignment criteria and each writer’s intention. </w:t>
            </w:r>
          </w:p>
        </w:tc>
        <w:tc>
          <w:tcPr>
            <w:tcW w:w="593" w:type="pct"/>
          </w:tcPr>
          <w:p w14:paraId="64925736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5D28A302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7B026F3F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2772B6D4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76DCAF11" w14:textId="77777777" w:rsidR="005A3365" w:rsidRPr="00E0176A" w:rsidRDefault="005A3365" w:rsidP="00ED6DB5">
            <w:pPr>
              <w:rPr>
                <w:rFonts w:ascii="Cambria" w:hAnsi="Cambria"/>
              </w:rPr>
            </w:pPr>
          </w:p>
        </w:tc>
      </w:tr>
      <w:tr w:rsidR="00D0411A" w:rsidRPr="00E0176A" w14:paraId="409050A0" w14:textId="77777777" w:rsidTr="00803D13">
        <w:trPr>
          <w:trHeight w:val="575"/>
        </w:trPr>
        <w:tc>
          <w:tcPr>
            <w:tcW w:w="1973" w:type="pct"/>
            <w:shd w:val="clear" w:color="auto" w:fill="E5DFEC" w:themeFill="accent4" w:themeFillTint="33"/>
          </w:tcPr>
          <w:p w14:paraId="68A58813" w14:textId="77777777" w:rsidR="00D0411A" w:rsidRPr="00D0411A" w:rsidRDefault="00D0411A" w:rsidP="00D0411A">
            <w:pPr>
              <w:jc w:val="center"/>
              <w:rPr>
                <w:rFonts w:ascii="Cambria" w:hAnsi="Cambria"/>
                <w:b/>
              </w:rPr>
            </w:pPr>
          </w:p>
          <w:p w14:paraId="76CBAA9F" w14:textId="190B691A" w:rsidR="00D0411A" w:rsidRPr="00D0411A" w:rsidRDefault="00D0411A" w:rsidP="00D0411A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ANNOTATED BIBLIOGRAPHY</w:t>
            </w:r>
          </w:p>
        </w:tc>
        <w:tc>
          <w:tcPr>
            <w:tcW w:w="593" w:type="pct"/>
          </w:tcPr>
          <w:p w14:paraId="7E5D9284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66CABC6D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0AAB7FC9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705201DB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151E2579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</w:tr>
      <w:tr w:rsidR="00D0411A" w:rsidRPr="00E0176A" w14:paraId="26D7F3E4" w14:textId="77777777" w:rsidTr="00803D13">
        <w:trPr>
          <w:trHeight w:val="575"/>
        </w:trPr>
        <w:tc>
          <w:tcPr>
            <w:tcW w:w="1973" w:type="pct"/>
            <w:shd w:val="clear" w:color="auto" w:fill="E5DFEC" w:themeFill="accent4" w:themeFillTint="33"/>
          </w:tcPr>
          <w:p w14:paraId="4CF73395" w14:textId="188F9E1A" w:rsidR="00D0411A" w:rsidRDefault="001C0BB5" w:rsidP="00C914BA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Sources: </w:t>
            </w:r>
            <w:r w:rsidR="000332E4">
              <w:rPr>
                <w:rFonts w:ascii="Cambria" w:hAnsi="Cambria"/>
                <w:sz w:val="18"/>
                <w:szCs w:val="18"/>
              </w:rPr>
              <w:t>7</w:t>
            </w:r>
            <w:r>
              <w:rPr>
                <w:rFonts w:ascii="Cambria" w:hAnsi="Cambria"/>
                <w:sz w:val="18"/>
                <w:szCs w:val="18"/>
              </w:rPr>
              <w:t>-10 sources are annotated</w:t>
            </w:r>
            <w:r w:rsidR="00C914BA">
              <w:rPr>
                <w:rFonts w:ascii="Cambria" w:hAnsi="Cambria"/>
                <w:sz w:val="18"/>
                <w:szCs w:val="18"/>
              </w:rPr>
              <w:t xml:space="preserve"> in a 200-250 word annotations that follow the requirements on the assignment sheet. All sources used in the argument ar</w:t>
            </w:r>
            <w:r w:rsidR="003518FC">
              <w:rPr>
                <w:rFonts w:ascii="Cambria" w:hAnsi="Cambria"/>
                <w:sz w:val="18"/>
                <w:szCs w:val="18"/>
              </w:rPr>
              <w:t>e annotated, and all annotated sources</w:t>
            </w:r>
            <w:r w:rsidR="00C914BA">
              <w:rPr>
                <w:rFonts w:ascii="Cambria" w:hAnsi="Cambria"/>
                <w:sz w:val="18"/>
                <w:szCs w:val="18"/>
              </w:rPr>
              <w:t xml:space="preserve"> are used in the argument. One source is scholarly; one was published in the last year. The </w:t>
            </w:r>
            <w:r w:rsidR="003518FC">
              <w:rPr>
                <w:rFonts w:ascii="Cambria" w:hAnsi="Cambria"/>
                <w:sz w:val="18"/>
                <w:szCs w:val="18"/>
              </w:rPr>
              <w:t>annotations</w:t>
            </w:r>
            <w:r w:rsidR="00C914BA">
              <w:rPr>
                <w:rFonts w:ascii="Cambria" w:hAnsi="Cambria"/>
                <w:sz w:val="18"/>
                <w:szCs w:val="18"/>
              </w:rPr>
              <w:t xml:space="preserve"> are preceded by a bibliographic entry in MLA format. The entire bibliography is formatted in MLA format.</w:t>
            </w:r>
          </w:p>
          <w:p w14:paraId="3927168E" w14:textId="535A5EE4" w:rsidR="00C914BA" w:rsidRPr="001C0BB5" w:rsidRDefault="00C914BA" w:rsidP="00C914BA">
            <w:pPr>
              <w:pStyle w:val="BodyTex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3" w:type="pct"/>
          </w:tcPr>
          <w:p w14:paraId="2B990906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28FBF0F1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64570525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796D5419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7240465B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</w:tr>
      <w:tr w:rsidR="00D0411A" w:rsidRPr="00E0176A" w14:paraId="0C22913F" w14:textId="77777777" w:rsidTr="00803D13">
        <w:trPr>
          <w:trHeight w:val="575"/>
        </w:trPr>
        <w:tc>
          <w:tcPr>
            <w:tcW w:w="1973" w:type="pct"/>
            <w:shd w:val="clear" w:color="auto" w:fill="E5DFEC" w:themeFill="accent4" w:themeFillTint="33"/>
          </w:tcPr>
          <w:p w14:paraId="5C8945F3" w14:textId="23BC593C" w:rsidR="00D0411A" w:rsidRDefault="00D0411A" w:rsidP="00D0411A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 xml:space="preserve">Drafting and Revision: </w:t>
            </w:r>
            <w:r>
              <w:rPr>
                <w:rFonts w:ascii="Cambria" w:hAnsi="Cambria"/>
                <w:sz w:val="18"/>
                <w:szCs w:val="18"/>
              </w:rPr>
              <w:t>Complete drafts</w:t>
            </w:r>
            <w:r w:rsidRPr="00E0176A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are submitted on time. </w:t>
            </w:r>
            <w:r w:rsidRPr="00E0176A">
              <w:rPr>
                <w:rFonts w:ascii="Cambria" w:hAnsi="Cambria"/>
                <w:sz w:val="18"/>
                <w:szCs w:val="18"/>
              </w:rPr>
              <w:t>Revision demonstrates attention to peer and teacher feedback.</w:t>
            </w:r>
          </w:p>
          <w:p w14:paraId="2E7DE205" w14:textId="77777777" w:rsidR="00D0411A" w:rsidRDefault="00D0411A" w:rsidP="00D0411A">
            <w:pPr>
              <w:pStyle w:val="BodyTex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14:paraId="2E54B4EE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02ADE382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63FDABEB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15B95155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0171F722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</w:tr>
      <w:tr w:rsidR="00D0411A" w:rsidRPr="00E0176A" w14:paraId="049E8E09" w14:textId="77777777" w:rsidTr="00803D13">
        <w:trPr>
          <w:trHeight w:val="575"/>
        </w:trPr>
        <w:tc>
          <w:tcPr>
            <w:tcW w:w="1973" w:type="pct"/>
            <w:shd w:val="clear" w:color="auto" w:fill="E5DFEC" w:themeFill="accent4" w:themeFillTint="33"/>
          </w:tcPr>
          <w:p w14:paraId="4E2723A0" w14:textId="194D5E7C" w:rsidR="00D0411A" w:rsidRDefault="00D0411A" w:rsidP="00D0411A">
            <w:pPr>
              <w:pStyle w:val="BodyText"/>
              <w:rPr>
                <w:rFonts w:ascii="Cambria" w:hAnsi="Cambria"/>
                <w:b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Workshop Participation</w:t>
            </w:r>
            <w:r>
              <w:rPr>
                <w:rFonts w:ascii="Cambria" w:hAnsi="Cambria"/>
                <w:b/>
                <w:sz w:val="18"/>
                <w:szCs w:val="18"/>
              </w:rPr>
              <w:t>:</w:t>
            </w:r>
            <w:r w:rsidRPr="00E0176A">
              <w:rPr>
                <w:rFonts w:ascii="Cambria" w:hAnsi="Cambria"/>
                <w:sz w:val="18"/>
                <w:szCs w:val="18"/>
              </w:rPr>
              <w:t xml:space="preserve"> Peer response shows attention to assignment criteria and each writer’s intention. </w:t>
            </w:r>
          </w:p>
        </w:tc>
        <w:tc>
          <w:tcPr>
            <w:tcW w:w="593" w:type="pct"/>
          </w:tcPr>
          <w:p w14:paraId="4E8E9049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4E420E38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5728620B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434628D2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7598DE8C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</w:tr>
      <w:tr w:rsidR="00D0411A" w:rsidRPr="00E0176A" w14:paraId="47498861" w14:textId="77777777" w:rsidTr="00803D13">
        <w:trPr>
          <w:trHeight w:val="539"/>
        </w:trPr>
        <w:tc>
          <w:tcPr>
            <w:tcW w:w="1973" w:type="pct"/>
            <w:shd w:val="clear" w:color="auto" w:fill="E5DFEC" w:themeFill="accent4" w:themeFillTint="33"/>
          </w:tcPr>
          <w:p w14:paraId="39FF03C3" w14:textId="58B0FF38" w:rsidR="00D0411A" w:rsidRDefault="00D0411A" w:rsidP="007A642B">
            <w:pPr>
              <w:pStyle w:val="BodyText"/>
              <w:rPr>
                <w:rFonts w:ascii="Cambria" w:hAnsi="Cambria"/>
                <w:sz w:val="18"/>
                <w:szCs w:val="18"/>
              </w:rPr>
            </w:pPr>
            <w:r w:rsidRPr="00E0176A">
              <w:rPr>
                <w:rFonts w:ascii="Cambria" w:hAnsi="Cambria"/>
                <w:b/>
                <w:sz w:val="18"/>
                <w:szCs w:val="18"/>
              </w:rPr>
              <w:t>In-Class Work</w:t>
            </w:r>
            <w:r>
              <w:rPr>
                <w:rFonts w:ascii="Cambria" w:hAnsi="Cambria"/>
                <w:b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All process work for this portfolio has been completed thoughtfully and on time. </w:t>
            </w:r>
          </w:p>
          <w:p w14:paraId="711FC6F2" w14:textId="6CD4372E" w:rsidR="00D0411A" w:rsidRPr="00E0176A" w:rsidRDefault="00D0411A" w:rsidP="007A642B">
            <w:pPr>
              <w:pStyle w:val="BodyTex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14:paraId="6B201A5D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49A043B7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654" w:type="pct"/>
          </w:tcPr>
          <w:p w14:paraId="2452ACE8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12C00990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  <w:tc>
          <w:tcPr>
            <w:tcW w:w="593" w:type="pct"/>
          </w:tcPr>
          <w:p w14:paraId="6C3BA583" w14:textId="77777777" w:rsidR="00D0411A" w:rsidRPr="00E0176A" w:rsidRDefault="00D0411A" w:rsidP="00ED6DB5">
            <w:pPr>
              <w:rPr>
                <w:rFonts w:ascii="Cambria" w:hAnsi="Cambria"/>
              </w:rPr>
            </w:pPr>
          </w:p>
        </w:tc>
      </w:tr>
    </w:tbl>
    <w:p w14:paraId="64F6ADF2" w14:textId="466E511D" w:rsidR="005731B6" w:rsidRPr="007F4D68" w:rsidRDefault="00EA28FD" w:rsidP="007F4D68">
      <w:pPr>
        <w:spacing w:line="480" w:lineRule="auto"/>
        <w:rPr>
          <w:rFonts w:ascii="Cambria" w:hAnsi="Cambria"/>
          <w:b/>
        </w:rPr>
      </w:pPr>
      <w:r w:rsidRPr="009A67B6">
        <w:rPr>
          <w:rFonts w:ascii="Cambria" w:hAnsi="Cambria"/>
          <w:b/>
        </w:rPr>
        <w:t>Grade:</w:t>
      </w:r>
      <w:r w:rsidR="00670A67" w:rsidRPr="009A67B6">
        <w:rPr>
          <w:rFonts w:ascii="Cambria" w:hAnsi="Cambria"/>
          <w:b/>
        </w:rPr>
        <w:br/>
      </w:r>
      <w:r w:rsidR="00703013" w:rsidRPr="009A67B6">
        <w:rPr>
          <w:rFonts w:ascii="Cambria" w:hAnsi="Cambria"/>
          <w:b/>
        </w:rPr>
        <w:t>Comments:</w:t>
      </w:r>
      <w:bookmarkStart w:id="0" w:name="_GoBack"/>
      <w:bookmarkEnd w:id="0"/>
      <w:r w:rsidR="00870A0D" w:rsidRPr="00E0176A">
        <w:rPr>
          <w:rFonts w:ascii="Cambria" w:hAnsi="Cambria"/>
          <w:b/>
          <w:sz w:val="20"/>
          <w:szCs w:val="20"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  <w:r w:rsidR="005731B6" w:rsidRPr="00E0176A">
        <w:rPr>
          <w:rFonts w:ascii="Cambria" w:hAnsi="Cambria"/>
          <w:b/>
        </w:rPr>
        <w:tab/>
      </w:r>
    </w:p>
    <w:sectPr w:rsidR="005731B6" w:rsidRPr="007F4D68" w:rsidSect="0070301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06546" w14:textId="77777777" w:rsidR="001C0BB5" w:rsidRDefault="001C0BB5" w:rsidP="00B33DE8">
      <w:pPr>
        <w:spacing w:after="0" w:line="240" w:lineRule="auto"/>
      </w:pPr>
      <w:r>
        <w:separator/>
      </w:r>
    </w:p>
  </w:endnote>
  <w:endnote w:type="continuationSeparator" w:id="0">
    <w:p w14:paraId="073A341B" w14:textId="77777777" w:rsidR="001C0BB5" w:rsidRDefault="001C0BB5" w:rsidP="00B3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BF82D" w14:textId="77777777" w:rsidR="001C0BB5" w:rsidRDefault="001C0BB5" w:rsidP="00B33DE8">
      <w:pPr>
        <w:spacing w:after="0" w:line="240" w:lineRule="auto"/>
      </w:pPr>
      <w:r>
        <w:separator/>
      </w:r>
    </w:p>
  </w:footnote>
  <w:footnote w:type="continuationSeparator" w:id="0">
    <w:p w14:paraId="608EA354" w14:textId="77777777" w:rsidR="001C0BB5" w:rsidRDefault="001C0BB5" w:rsidP="00B3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843DA" w14:textId="2B4994EB" w:rsidR="001C0BB5" w:rsidRPr="00E0176A" w:rsidRDefault="001C0BB5" w:rsidP="00E0176A">
    <w:pPr>
      <w:pStyle w:val="Header"/>
      <w:jc w:val="right"/>
      <w:rPr>
        <w:rFonts w:ascii="Cambria" w:hAnsi="Cambria"/>
      </w:rPr>
    </w:pPr>
    <w:r w:rsidRPr="00E0176A">
      <w:rPr>
        <w:rFonts w:ascii="Cambria" w:hAnsi="Cambria"/>
      </w:rPr>
      <w:t>E</w:t>
    </w:r>
    <w:r>
      <w:rPr>
        <w:rFonts w:ascii="Cambria" w:hAnsi="Cambria"/>
      </w:rPr>
      <w:t>NGL 2</w:t>
    </w:r>
    <w:r w:rsidRPr="00E0176A">
      <w:rPr>
        <w:rFonts w:ascii="Cambria" w:hAnsi="Cambria"/>
      </w:rPr>
      <w:t>0803</w:t>
    </w:r>
    <w:r>
      <w:rPr>
        <w:rFonts w:ascii="Cambria" w:hAnsi="Cambria"/>
      </w:rPr>
      <w:t xml:space="preserve"> (Kelm)</w:t>
    </w:r>
  </w:p>
  <w:p w14:paraId="23CFE627" w14:textId="77777777" w:rsidR="001C0BB5" w:rsidRDefault="001C0B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0130"/>
    <w:multiLevelType w:val="hybridMultilevel"/>
    <w:tmpl w:val="8820C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63"/>
    <w:rsid w:val="000059CD"/>
    <w:rsid w:val="00011B3A"/>
    <w:rsid w:val="000332E4"/>
    <w:rsid w:val="00041B46"/>
    <w:rsid w:val="00041DE0"/>
    <w:rsid w:val="000963E3"/>
    <w:rsid w:val="000D1189"/>
    <w:rsid w:val="00116E4F"/>
    <w:rsid w:val="00150820"/>
    <w:rsid w:val="001C0BB5"/>
    <w:rsid w:val="001C4782"/>
    <w:rsid w:val="001D3EAA"/>
    <w:rsid w:val="00241EAD"/>
    <w:rsid w:val="002510D2"/>
    <w:rsid w:val="00267AA8"/>
    <w:rsid w:val="002957BB"/>
    <w:rsid w:val="002B2C85"/>
    <w:rsid w:val="002E116D"/>
    <w:rsid w:val="002E7AE1"/>
    <w:rsid w:val="00322DE8"/>
    <w:rsid w:val="003518FC"/>
    <w:rsid w:val="003B1095"/>
    <w:rsid w:val="00415F74"/>
    <w:rsid w:val="004573E8"/>
    <w:rsid w:val="00512391"/>
    <w:rsid w:val="00533A01"/>
    <w:rsid w:val="00557E04"/>
    <w:rsid w:val="005731B6"/>
    <w:rsid w:val="005A3365"/>
    <w:rsid w:val="005D37E4"/>
    <w:rsid w:val="005D7D3B"/>
    <w:rsid w:val="006114B5"/>
    <w:rsid w:val="00624066"/>
    <w:rsid w:val="00645E54"/>
    <w:rsid w:val="00670A67"/>
    <w:rsid w:val="006A5E29"/>
    <w:rsid w:val="00703013"/>
    <w:rsid w:val="00704C89"/>
    <w:rsid w:val="007645D7"/>
    <w:rsid w:val="0078636C"/>
    <w:rsid w:val="007907B7"/>
    <w:rsid w:val="007A642B"/>
    <w:rsid w:val="007F4D68"/>
    <w:rsid w:val="00803D13"/>
    <w:rsid w:val="00846C8E"/>
    <w:rsid w:val="00865F99"/>
    <w:rsid w:val="00867145"/>
    <w:rsid w:val="00870A0D"/>
    <w:rsid w:val="008D7A3B"/>
    <w:rsid w:val="008E3942"/>
    <w:rsid w:val="00910BF7"/>
    <w:rsid w:val="00923397"/>
    <w:rsid w:val="00924DE9"/>
    <w:rsid w:val="00981BB7"/>
    <w:rsid w:val="00983572"/>
    <w:rsid w:val="009A67B6"/>
    <w:rsid w:val="00A00E14"/>
    <w:rsid w:val="00AA034B"/>
    <w:rsid w:val="00AA3310"/>
    <w:rsid w:val="00AA6DA4"/>
    <w:rsid w:val="00AC2464"/>
    <w:rsid w:val="00AC7905"/>
    <w:rsid w:val="00B33DE8"/>
    <w:rsid w:val="00BB79E3"/>
    <w:rsid w:val="00C57849"/>
    <w:rsid w:val="00C914BA"/>
    <w:rsid w:val="00CC22E4"/>
    <w:rsid w:val="00CE4B63"/>
    <w:rsid w:val="00D0411A"/>
    <w:rsid w:val="00D37BF9"/>
    <w:rsid w:val="00D7088D"/>
    <w:rsid w:val="00DA4C76"/>
    <w:rsid w:val="00E0176A"/>
    <w:rsid w:val="00E05E7A"/>
    <w:rsid w:val="00E145DE"/>
    <w:rsid w:val="00E55F27"/>
    <w:rsid w:val="00EA28FD"/>
    <w:rsid w:val="00EA3D27"/>
    <w:rsid w:val="00ED6DB5"/>
    <w:rsid w:val="00F134AC"/>
    <w:rsid w:val="00F167E9"/>
    <w:rsid w:val="00F64AC6"/>
    <w:rsid w:val="00F92CAC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02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E4B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B6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E8"/>
  </w:style>
  <w:style w:type="paragraph" w:styleId="Footer">
    <w:name w:val="footer"/>
    <w:basedOn w:val="Normal"/>
    <w:link w:val="FooterChar"/>
    <w:uiPriority w:val="99"/>
    <w:unhideWhenUsed/>
    <w:rsid w:val="00B3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E8"/>
  </w:style>
  <w:style w:type="paragraph" w:styleId="BalloonText">
    <w:name w:val="Balloon Text"/>
    <w:basedOn w:val="Normal"/>
    <w:link w:val="BalloonTextChar"/>
    <w:uiPriority w:val="99"/>
    <w:semiHidden/>
    <w:unhideWhenUsed/>
    <w:rsid w:val="00B3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A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A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0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E4B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B63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E8"/>
  </w:style>
  <w:style w:type="paragraph" w:styleId="Footer">
    <w:name w:val="footer"/>
    <w:basedOn w:val="Normal"/>
    <w:link w:val="FooterChar"/>
    <w:uiPriority w:val="99"/>
    <w:unhideWhenUsed/>
    <w:rsid w:val="00B33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E8"/>
  </w:style>
  <w:style w:type="paragraph" w:styleId="BalloonText">
    <w:name w:val="Balloon Text"/>
    <w:basedOn w:val="Normal"/>
    <w:link w:val="BalloonTextChar"/>
    <w:uiPriority w:val="99"/>
    <w:semiHidden/>
    <w:unhideWhenUsed/>
    <w:rsid w:val="00B3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E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0A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0A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0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BA52-EAE5-5949-ABDA-5524D0D3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477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Hogg</dc:creator>
  <cp:lastModifiedBy>Sara Kelm</cp:lastModifiedBy>
  <cp:revision>23</cp:revision>
  <dcterms:created xsi:type="dcterms:W3CDTF">2017-07-13T13:32:00Z</dcterms:created>
  <dcterms:modified xsi:type="dcterms:W3CDTF">2019-03-22T01:23:00Z</dcterms:modified>
</cp:coreProperties>
</file>